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21, 2026</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CASS INFORMATION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4918" w:type="dxa"/>
        <w:jc w:val="left"/>
        <w:tblInd w:w="0" w:type="dxa"/>
        <w:tblLayout w:type="fixed"/>
        <w:tblCellMar>
          <w:top w:w="28" w:type="dxa"/>
          <w:left w:w="28" w:type="dxa"/>
          <w:bottom w:w="28" w:type="dxa"/>
          <w:right w:w="28" w:type="dxa"/>
        </w:tblCellMar>
      </w:tblPr>
      <w:tblGrid>
        <w:gridCol w:w="857"/>
        <w:gridCol w:w="753"/>
        <w:gridCol w:w="760"/>
        <w:gridCol w:w="353"/>
        <w:gridCol w:w="353"/>
        <w:gridCol w:w="358"/>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Missouri</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000-20827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43-1265338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078" w:type="dxa"/>
        <w:jc w:val="left"/>
        <w:tblInd w:w="0" w:type="dxa"/>
        <w:tblLayout w:type="fixed"/>
        <w:tblCellMar>
          <w:top w:w="28" w:type="dxa"/>
          <w:left w:w="28" w:type="dxa"/>
          <w:bottom w:w="28" w:type="dxa"/>
          <w:right w:w="28" w:type="dxa"/>
        </w:tblCellMar>
      </w:tblPr>
      <w:tblGrid>
        <w:gridCol w:w="1141"/>
        <w:gridCol w:w="1003"/>
        <w:gridCol w:w="1005"/>
        <w:gridCol w:w="272"/>
        <w:gridCol w:w="272"/>
        <w:gridCol w:w="385"/>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12444 Powerscourt Drive, Suite 550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 Louis, Missouri</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63131</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(314) 506-5500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62" w:type="dxa"/>
        <w:jc w:val="left"/>
        <w:tblInd w:w="0" w:type="dxa"/>
        <w:tblLayout w:type="fixed"/>
        <w:tblCellMar>
          <w:top w:w="28" w:type="dxa"/>
          <w:left w:w="28" w:type="dxa"/>
          <w:bottom w:w="28" w:type="dxa"/>
          <w:right w:w="28" w:type="dxa"/>
        </w:tblCellMar>
      </w:tblPr>
      <w:tblGrid>
        <w:gridCol w:w="124"/>
        <w:gridCol w:w="109"/>
        <w:gridCol w:w="109"/>
        <w:gridCol w:w="2141"/>
        <w:gridCol w:w="2141"/>
        <w:gridCol w:w="3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29"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0"/>
        <w:gridCol w:w="230"/>
        <w:gridCol w:w="231"/>
        <w:gridCol w:w="109"/>
        <w:gridCol w:w="109"/>
        <w:gridCol w:w="109"/>
        <w:gridCol w:w="768"/>
        <w:gridCol w:w="768"/>
        <w:gridCol w:w="1089"/>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2026, Cass Information Systems, Inc. (the “Company”) issued a press release announcing its financial results for the second quarter of fiscal 2026. A copy of this press release is attached hereto as Exhibit 99.1 and incorporated herein by reference.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July 23, 2026, the Company made available on the Investors section of the Company’s website at www.cassinfo.com, an earnings supplement that includes information about the Company’s business and developments and certain financial information relating to the second quarter of fiscal 2026. The information contained in this presentation is summary information that is intended to be considered in the context of the Company’s Securities and Exchange Commission filings and other public announcements that the Company may make, by press release or otherwise, from time to time. A copy of the earnings supplement is attached hereto as Exhibit 99.2 and incorporated herein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used, and intends to continue using, the Investors portion of its website to disclose material non-public information and to comply with its disclosure obligations under Regulation FD. Accordingly, investors are encouraged to monitor the Company’s website in addition to following press releases, SEC filings, and public conference calls and webcasts.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reported under this Item 2.02 of Form 8-K, including Exhibit 99.1 and Exhibit 99.2 is being furnished and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21, 2026, the Company’s Board of Directors declared a third quarter dividend of $0.32 per share payable on September 14, 2026 to shareholders of record on September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8893"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126"/>
        <w:gridCol w:w="2126"/>
        <w:gridCol w:w="3038"/>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ass-20260630xexx991.htm">
              <w:r>
                <w:rPr>
                  <w:rStyle w:val="InternetLink"/>
                  <w:rFonts w:ascii="Times New Roman;serif" w:hAnsi="Times New Roman;serif"/>
                  <w:b w:val="false"/>
                  <w:color w:val="000080"/>
                  <w:sz w:val="20"/>
                  <w:u w:val="single"/>
                </w:rPr>
                <w:t xml:space="preserve">Press release issued by Cass Information Systems, Inc. dated </w:t>
              </w:r>
            </w:hyperlink>
            <w:hyperlink w:anchor="cass-20260630xexx991.htm">
              <w:r>
                <w:rPr>
                  <w:rStyle w:val="InternetLink"/>
                  <w:rFonts w:ascii="Times New Roman;serif" w:hAnsi="Times New Roman;serif"/>
                  <w:b w:val="false"/>
                  <w:color w:val="000080"/>
                  <w:sz w:val="20"/>
                  <w:u w:val="single"/>
                </w:rPr>
                <w:t>July</w:t>
              </w:r>
            </w:hyperlink>
            <w:hyperlink w:anchor="cass-20260630xexx991.htm">
              <w:r>
                <w:rPr>
                  <w:rStyle w:val="InternetLink"/>
                  <w:rFonts w:ascii="Times New Roman;serif" w:hAnsi="Times New Roman;serif"/>
                  <w:b w:val="false"/>
                  <w:color w:val="000080"/>
                  <w:sz w:val="20"/>
                  <w:u w:val="single"/>
                </w:rPr>
                <w:t xml:space="preserve"> 23, 2026.</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supplementalppt.htm">
              <w:r>
                <w:rPr>
                  <w:rStyle w:val="InternetLink"/>
                  <w:rFonts w:ascii="Times New Roman;serif" w:hAnsi="Times New Roman;serif"/>
                  <w:b w:val="false"/>
                  <w:color w:val="0000FF"/>
                  <w:sz w:val="20"/>
                  <w:u w:val="single"/>
                </w:rPr>
                <w:t>Earnings supplement made available on the Investors section of the Company’s website.</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23, 2026</w:t>
      </w:r>
    </w:p>
    <w:tbl>
      <w:tblPr>
        <w:tblW w:w="6362" w:type="dxa"/>
        <w:jc w:val="right"/>
        <w:tblInd w:w="0" w:type="dxa"/>
        <w:tblLayout w:type="fixed"/>
        <w:tblCellMar>
          <w:top w:w="28" w:type="dxa"/>
          <w:left w:w="28" w:type="dxa"/>
          <w:bottom w:w="28" w:type="dxa"/>
          <w:right w:w="28" w:type="dxa"/>
        </w:tblCellMar>
      </w:tblPr>
      <w:tblGrid>
        <w:gridCol w:w="124"/>
        <w:gridCol w:w="109"/>
        <w:gridCol w:w="109"/>
        <w:gridCol w:w="527"/>
        <w:gridCol w:w="527"/>
        <w:gridCol w:w="527"/>
        <w:gridCol w:w="1293"/>
        <w:gridCol w:w="1293"/>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CASS INFORMATION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before="0" w:after="0"/>
        <w:jc w:val="left"/>
        <w:rPr/>
      </w:pPr>
      <w:r>
        <w:rPr/>
        <w:drawing>
          <wp:inline distT="0" distB="0" distL="0" distR="0">
            <wp:extent cx="1171575"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952500"/>
                    </a:xfrm>
                    <a:prstGeom prst="rect">
                      <a:avLst/>
                    </a:prstGeom>
                  </pic:spPr>
                </pic:pic>
              </a:graphicData>
            </a:graphic>
          </wp:inline>
        </w:drawing>
      </w:r>
    </w:p>
    <w:p>
      <w:pPr>
        <w:pStyle w:val="TextBody"/>
        <w:bidi w:val="0"/>
        <w:spacing w:lineRule="auto" w:line="288" w:before="240" w:after="283"/>
        <w:jc w:val="left"/>
        <w:rPr/>
      </w:pPr>
      <w:r>
        <w:rPr>
          <w:rFonts w:ascii="Times New Roman;serif" w:hAnsi="Times New Roman;serif"/>
          <w:b/>
          <w:color w:val="000000"/>
          <w:sz w:val="20"/>
        </w:rPr>
        <w:t>Contact</w:t>
      </w:r>
      <w:r>
        <w:rPr>
          <w:rFonts w:ascii="Times New Roman;serif" w:hAnsi="Times New Roman;serif"/>
          <w:b w:val="false"/>
          <w:color w:val="000000"/>
          <w:sz w:val="20"/>
        </w:rPr>
        <w:t>: Cass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ir@cassinfo.com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23, 2026</w:t>
      </w:r>
    </w:p>
    <w:p>
      <w:pPr>
        <w:pStyle w:val="TextBody"/>
        <w:bidi w:val="0"/>
        <w:spacing w:lineRule="auto" w:line="288" w:before="240" w:after="283"/>
        <w:jc w:val="center"/>
        <w:rPr>
          <w:rFonts w:ascii="Times New Roman;serif" w:hAnsi="Times New Roman;serif"/>
          <w:b/>
          <w:color w:val="000000"/>
          <w:sz w:val="28"/>
          <w:u w:val="single"/>
        </w:rPr>
      </w:pPr>
      <w:r>
        <w:rPr>
          <w:rFonts w:ascii="Times New Roman;serif" w:hAnsi="Times New Roman;serif"/>
          <w:b/>
          <w:color w:val="000000"/>
          <w:sz w:val="28"/>
          <w:u w:val="single"/>
        </w:rPr>
        <w:t>Cass Information Systems reports Second Quarter 2026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Record level of quarterly net income and EPS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 net interest margin expansion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Strong expense control</w:t>
      </w:r>
    </w:p>
    <w:p>
      <w:pPr>
        <w:pStyle w:val="TextBody"/>
        <w:bidi w:val="0"/>
        <w:spacing w:lineRule="auto" w:line="288" w:before="240" w:after="283"/>
        <w:jc w:val="both"/>
        <w:rPr/>
      </w:pPr>
      <w:r>
        <w:rPr>
          <w:rFonts w:ascii="Times New Roman;serif" w:hAnsi="Times New Roman;serif"/>
          <w:b w:val="false"/>
          <w:color w:val="000000"/>
          <w:sz w:val="20"/>
        </w:rPr>
        <w:t>ST. LOUIS</w:t>
      </w:r>
      <w:r>
        <w:rPr>
          <w:color w:val="000000"/>
        </w:rPr>
        <w:t> – </w:t>
      </w:r>
      <w:r>
        <w:rPr>
          <w:rFonts w:ascii="Times New Roman;serif" w:hAnsi="Times New Roman;serif"/>
          <w:b/>
          <w:color w:val="000000"/>
          <w:sz w:val="20"/>
          <w:u w:val="single"/>
        </w:rPr>
        <w:t>Cass Information Systems, Inc. (Nasdaq: CASS</w:t>
      </w:r>
      <w:r>
        <w:rPr>
          <w:rFonts w:ascii="Times New Roman;serif" w:hAnsi="Times New Roman;serif"/>
          <w:b/>
          <w:color w:val="000000"/>
          <w:sz w:val="20"/>
        </w:rPr>
        <w:t>) </w:t>
      </w:r>
      <w:r>
        <w:rPr>
          <w:rFonts w:ascii="Times New Roman;serif" w:hAnsi="Times New Roman;serif"/>
          <w:b w:val="false"/>
          <w:color w:val="000000"/>
          <w:sz w:val="20"/>
        </w:rPr>
        <w:t>(the Company or Cass) today reported its second quarter 2026 earnings.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Second Quarter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Record net income and diluted earnings per share of $10.6 million and $0.81, respectively.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Adjusted net income and adjusted diluted earnings per share from continuing operations (non-GAAP) of $9.2 million and $0.71, respectively, increases of 18.1% and 22.4%, respectively, compared to the second quarter of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 in net interest margin to 4.00% compared to 3.78% in the second quarter of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transportation dollar volumes of 7.4% compared to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 in personnel expenses of 2.4% compared to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Continued strong asset quality with no loan charge-offs and an allowance for credit losses to loans ratio of 1.30%. In addition, reduced non-performing loans by $5.3 million, or 76.4%, as compared to December 31,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Received a bad debt recovery of $1.8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Repurchased 65,557 shares of Company stock at a weighted average price of $46.23.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Martin Resch, the Company’s President and Chief Executive Officer, noted, “Our record quarterly earnings reflect continued successful execution against our financial objectives.” Resch added, “The current market conditions, including higher freight rates and a sustained higher interest rate environment, present meaningful support to our earnings outlook. These tailwinds, combined with new business wins and expense discipline, should position Cass well for continued core earnings growth in coming quarters."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for the second quarter of 2026 are summarized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6"/>
        <w:gridCol w:w="635"/>
        <w:gridCol w:w="638"/>
        <w:gridCol w:w="245"/>
        <w:gridCol w:w="338"/>
        <w:gridCol w:w="338"/>
        <w:gridCol w:w="109"/>
        <w:gridCol w:w="109"/>
        <w:gridCol w:w="109"/>
        <w:gridCol w:w="245"/>
        <w:gridCol w:w="285"/>
        <w:gridCol w:w="286"/>
        <w:gridCol w:w="109"/>
        <w:gridCol w:w="109"/>
        <w:gridCol w:w="109"/>
        <w:gridCol w:w="259"/>
        <w:gridCol w:w="285"/>
        <w:gridCol w:w="286"/>
        <w:gridCol w:w="109"/>
        <w:gridCol w:w="109"/>
        <w:gridCol w:w="109"/>
        <w:gridCol w:w="245"/>
        <w:gridCol w:w="285"/>
        <w:gridCol w:w="286"/>
        <w:gridCol w:w="109"/>
        <w:gridCol w:w="109"/>
        <w:gridCol w:w="109"/>
        <w:gridCol w:w="245"/>
        <w:gridCol w:w="285"/>
        <w:gridCol w:w="286"/>
        <w:gridCol w:w="109"/>
        <w:gridCol w:w="109"/>
        <w:gridCol w:w="109"/>
        <w:gridCol w:w="245"/>
        <w:gridCol w:w="338"/>
        <w:gridCol w:w="338"/>
        <w:gridCol w:w="115"/>
        <w:gridCol w:w="115"/>
        <w:gridCol w:w="115"/>
        <w:gridCol w:w="241"/>
        <w:gridCol w:w="298"/>
        <w:gridCol w:w="427"/>
      </w:tblGrid>
      <w:tr>
        <w:trPr/>
        <w:tc>
          <w:tcPr>
            <w:tcW w:w="86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 in thousands, except per share data)</w:t>
            </w:r>
          </w:p>
        </w:tc>
        <w:tc>
          <w:tcPr>
            <w:tcW w:w="550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13,710</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margin </w:t>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62"/>
        <w:gridCol w:w="586"/>
        <w:gridCol w:w="591"/>
        <w:gridCol w:w="232"/>
        <w:gridCol w:w="338"/>
        <w:gridCol w:w="338"/>
        <w:gridCol w:w="109"/>
        <w:gridCol w:w="109"/>
        <w:gridCol w:w="109"/>
        <w:gridCol w:w="232"/>
        <w:gridCol w:w="285"/>
        <w:gridCol w:w="286"/>
        <w:gridCol w:w="109"/>
        <w:gridCol w:w="109"/>
        <w:gridCol w:w="109"/>
        <w:gridCol w:w="241"/>
        <w:gridCol w:w="285"/>
        <w:gridCol w:w="286"/>
        <w:gridCol w:w="109"/>
        <w:gridCol w:w="109"/>
        <w:gridCol w:w="109"/>
        <w:gridCol w:w="232"/>
        <w:gridCol w:w="285"/>
        <w:gridCol w:w="286"/>
        <w:gridCol w:w="109"/>
        <w:gridCol w:w="109"/>
        <w:gridCol w:w="109"/>
        <w:gridCol w:w="232"/>
        <w:gridCol w:w="285"/>
        <w:gridCol w:w="286"/>
        <w:gridCol w:w="109"/>
        <w:gridCol w:w="109"/>
        <w:gridCol w:w="109"/>
        <w:gridCol w:w="232"/>
        <w:gridCol w:w="338"/>
        <w:gridCol w:w="338"/>
        <w:gridCol w:w="113"/>
        <w:gridCol w:w="113"/>
        <w:gridCol w:w="113"/>
        <w:gridCol w:w="230"/>
        <w:gridCol w:w="298"/>
        <w:gridCol w:w="427"/>
      </w:tblGrid>
      <w:tr>
        <w:trPr/>
        <w:tc>
          <w:tcPr>
            <w:tcW w:w="106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 in thousands, except per share data)</w:t>
            </w:r>
          </w:p>
        </w:tc>
        <w:tc>
          <w:tcPr>
            <w:tcW w:w="543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(GAAP)</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13,710</w:t>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adjustments</w:t>
            </w:r>
            <w:r>
              <w:rPr>
                <w:rFonts w:ascii="Times New Roman;serif" w:hAnsi="Times New Roman;serif"/>
                <w:b w:val="false"/>
                <w:color w:val="000000"/>
                <w:sz w:val="13"/>
              </w:rPr>
              <w:t>(1)</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from continuing operations (Non-GAAP) </w:t>
            </w:r>
            <w:r>
              <w:rPr>
                <w:rFonts w:ascii="Times New Roman;serif" w:hAnsi="Times New Roman;serif"/>
                <w:b w:val="false"/>
                <w:color w:val="000000"/>
                <w:sz w:val="13"/>
              </w:rPr>
              <w:t>(1)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w:t>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 (GAAP)</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diluted earnings per share from continuing operations (Non-GAAP) </w:t>
            </w:r>
            <w:r>
              <w:rPr>
                <w:rFonts w:ascii="Times New Roman;serif" w:hAnsi="Times New Roman;serif"/>
                <w:b w:val="false"/>
                <w:color w:val="000000"/>
                <w:sz w:val="13"/>
              </w:rPr>
              <w:t>(1)</w:t>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lineRule="auto" w:line="288" w:before="0" w:after="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Refer to explanation of use of non-GAAP financial measures and reconciliation of adjusted net income from continuing operations and adjusted diluted earnings per share from continuing operations as presented later in this earnings release.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Second Quarter 2026 Financial Commentary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(All comparisons refer to the second quarter of 2025, except as noted)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Transportation Invoice and Dollar Volumes</w:t>
      </w:r>
      <w:r>
        <w:rPr>
          <w:color w:val="000000"/>
        </w:rPr>
        <w:t xml:space="preserve"> – </w:t>
      </w:r>
      <w:r>
        <w:rPr>
          <w:rFonts w:ascii="Times New Roman;serif" w:hAnsi="Times New Roman;serif"/>
          <w:b w:val="false"/>
          <w:color w:val="000000"/>
          <w:sz w:val="20"/>
        </w:rPr>
        <w:t xml:space="preserve">Despite transportation invoice volumes of 8.7 million decreasing 1.9%, transportation dollar volumes of $10.1 billion increased 7.4%. The average dollars per invoice were $1,161 in the second quarter of 2026, compared to $1,115 in the first quarter of 2026 and $1,060 in the second quarter of 2025. Dollars per invoice increased due to an increase in overall freight rates, as well as the impact of fuel surcharges. The Company expects average dollars per invoice to continue increasing in future quarters due to the anticipated upward repricing of contract freight rates. A more detailed analysis of Cass Freight Index® changes can be found at www.cassinfo.com.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Facility Expense Invoice and Dollar Volumes</w:t>
      </w:r>
      <w:r>
        <w:rPr>
          <w:color w:val="000000"/>
        </w:rPr>
        <w:t xml:space="preserve"> – </w:t>
      </w:r>
      <w:r>
        <w:rPr>
          <w:rFonts w:ascii="Times New Roman;serif" w:hAnsi="Times New Roman;serif"/>
          <w:b w:val="false"/>
          <w:color w:val="000000"/>
          <w:sz w:val="20"/>
        </w:rPr>
        <w:t>Facility expense invoice volumes of 4.0 million decreased 3.0%, and dollar volumes of $5.7 billion, increased 2.6%. The Company expects invoice volumes to increase on a quarter over prior year quarter basis beginning in the fourth quarter of 2026 as new clients are onboarded. Dollar volumes are expected to continue increasing compared to prior year quarters due to rising electricity and gas prices.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Processing Fees</w:t>
      </w:r>
      <w:r>
        <w:rPr>
          <w:color w:val="000000"/>
        </w:rPr>
        <w:t xml:space="preserve"> – </w:t>
      </w:r>
      <w:r>
        <w:rPr>
          <w:rFonts w:ascii="Times New Roman;serif" w:hAnsi="Times New Roman;serif"/>
          <w:b w:val="false"/>
          <w:color w:val="000000"/>
          <w:sz w:val="20"/>
        </w:rPr>
        <w:t>Processing fees decreased $614,000, or 3.7%, due to lower transportation and facility invoice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Financial Fees</w:t>
      </w:r>
      <w:r>
        <w:rPr>
          <w:color w:val="000000"/>
        </w:rPr>
        <w:t xml:space="preserve"> – </w:t>
      </w:r>
      <w:r>
        <w:rPr>
          <w:rFonts w:ascii="Times New Roman;serif" w:hAnsi="Times New Roman;serif"/>
          <w:b w:val="false"/>
          <w:color w:val="000000"/>
          <w:sz w:val="20"/>
        </w:rPr>
        <w:t xml:space="preserve">Financial fees, earned on a transactional level basis for invoice payment services when making customer payments, increased $790,000, or 7.8%. The increase in financial fees was primarily due to an increase in average payments in advance of funding of 19.4%. Rising freight rates, combined with higher demand for the Company’s early payment and other financial solutions, are expected to continue to drive an increase in payments in advance of funding and resulting financial fees in future quarters.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Net Interest Income</w:t>
      </w:r>
      <w:r>
        <w:rPr>
          <w:color w:val="000000"/>
        </w:rPr>
        <w:t xml:space="preserve"> – </w:t>
      </w:r>
      <w:r>
        <w:rPr>
          <w:rFonts w:ascii="Times New Roman;serif" w:hAnsi="Times New Roman;serif"/>
          <w:b w:val="false"/>
          <w:color w:val="000000"/>
          <w:sz w:val="20"/>
        </w:rPr>
        <w:t xml:space="preserve">Net interest income increased $2.1 million, or 10.6%. The increase in net interest income was attributable to the net interest margin improving to 4.00% as compared to 3.78%, in addition to an increase in average interest-earning assets of $108.7 million, or 5.2%.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net interest margin improvement was driven by increases in the average yield on loans and investment securities of 23 and 70 basis points, respectively, combined with a decrease in the average cost of total deposits of 20 basis points, partially offset by a decrease in the yield on short-term investments of 66 basis points. The increase in loan yield was driven by the continued maturity and subsequent re-pricing of fixed rate loans originated in the years 2021 and 2022 to current market interest rates. The increase in the investment securities yield was driven by the partial repositioning of the portfolio at the end of the second quarter of 2025 as well as purchases of investments at current market rates. The decline in the cost of total deposits and yield on short-term investments was driven by the reduction in the federal funds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continued expansion in its net interest margin in future quarters to the extent 3-5 year U.S. Treasury interest rates stay relatively consistent or increase as compared to current levels.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Provision for Credit Losses</w:t>
      </w:r>
      <w:r>
        <w:rPr>
          <w:color w:val="000000"/>
        </w:rPr>
        <w:t xml:space="preserve"> </w:t>
      </w:r>
      <w:r>
        <w:rPr>
          <w:rFonts w:ascii="Times New Roman;serif" w:hAnsi="Times New Roman;serif"/>
          <w:b w:val="false"/>
          <w:color w:val="000000"/>
          <w:sz w:val="20"/>
        </w:rPr>
        <w:t xml:space="preserve">- The Company recorded a provision for credit losses of $531,000 during the second quarter of 2026 as compared to $25,000 in the second quarter of 2025. The provision for credit losses for the second quarter of 2026 was driven by loan growth as well as a specific reserve on a nonperforming commercial real estate loan.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Personnel Expenses - </w:t>
      </w:r>
      <w:r>
        <w:rPr>
          <w:rFonts w:ascii="Times New Roman;serif" w:hAnsi="Times New Roman;serif"/>
          <w:b w:val="false"/>
          <w:color w:val="000000"/>
          <w:sz w:val="20"/>
        </w:rPr>
        <w:t xml:space="preserve">Personnel expenses decreased $667,000, or 2.4%, as compared to the second quarter of 2025. Salaries and commissions decreased $397,000, or 1.9%, as a result of the decrease in average full-time equivalent employees (“FTEs”) of 9.0% due to automation and the ongoing consolidation within our Facilities division, partially offset by merit increases. Share-based compensation and employee profit sharing increased $212,000 and $376,000, respectively, due to the improvement in net income from continuing operations. Other benefits decreased $858,000, or 18.6%, due to the decrease in FTEs in addition to lower health insurance claims and related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Salaries and commissions increased $973,000, or 5.0%, as compared to the first quarter of 2026 due to merit increases effective April 1, 2026, an increase in severance costs of $160,000 and one additional payroll day, partially offset by a 2.9% decrease in average FTEs.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Equipment Expense</w:t>
      </w:r>
      <w:r>
        <w:rPr>
          <w:color w:val="000000"/>
        </w:rPr>
        <w:t xml:space="preserve"> </w:t>
      </w:r>
      <w:r>
        <w:rPr>
          <w:rFonts w:ascii="Times New Roman;serif" w:hAnsi="Times New Roman;serif"/>
          <w:b w:val="false"/>
          <w:color w:val="000000"/>
          <w:sz w:val="20"/>
        </w:rPr>
        <w:t xml:space="preserve">- Equipment expense increased $214,000 primarily due to an increase in depreciation and licensing and maintenance expense on software related to technology initiatives.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Bad Debt Recovery</w:t>
      </w:r>
      <w:r>
        <w:rPr>
          <w:color w:val="000000"/>
        </w:rPr>
        <w:t xml:space="preserve"> </w:t>
      </w:r>
      <w:r>
        <w:rPr>
          <w:rFonts w:ascii="Times New Roman;serif" w:hAnsi="Times New Roman;serif"/>
          <w:b w:val="false"/>
          <w:color w:val="000000"/>
          <w:sz w:val="20"/>
        </w:rPr>
        <w:t xml:space="preserve">- The Company recorded a bad debt recovery of $1.8 million related to the second annual payment in a litigation settlement. There are three annual payments remaining of $1.25 million each, plus interest.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Expense </w:t>
      </w:r>
      <w:r>
        <w:rPr>
          <w:rFonts w:ascii="Times New Roman;serif" w:hAnsi="Times New Roman;serif"/>
          <w:b w:val="false"/>
          <w:color w:val="000000"/>
          <w:sz w:val="20"/>
        </w:rPr>
        <w:t xml:space="preserve">- Other expense increased $828,000, or 12.1%. The increase is primarily due to higher business development costs and professional fees.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Loans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When compared to December 31, 2025, loans increased $41.8 million, or 3.9%. Other commercial and industrial loans have increased $38.0 million year-to-date due to organic growth and higher line utilization. The Company continues to expect loan growth of 6-8% for full year 2026.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Payments in Advance of Funding – </w:t>
      </w:r>
      <w:r>
        <w:rPr>
          <w:rFonts w:ascii="Times New Roman;serif" w:hAnsi="Times New Roman;serif"/>
          <w:b w:val="false"/>
          <w:color w:val="000000"/>
          <w:sz w:val="20"/>
        </w:rPr>
        <w:t xml:space="preserve">Average payments in advance of funding increased $34.2 million, or 19.4%, primarily due to a 7.4% increase in transportation dollar volumes and a higher level of demand for the Company’s early payment and other financial solutions.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Deposits</w:t>
      </w:r>
      <w:r>
        <w:rPr>
          <w:color w:val="000000"/>
        </w:rPr>
        <w:t xml:space="preserve"> – </w:t>
      </w:r>
      <w:r>
        <w:rPr>
          <w:rFonts w:ascii="Times New Roman;serif" w:hAnsi="Times New Roman;serif"/>
          <w:b w:val="false"/>
          <w:color w:val="000000"/>
          <w:sz w:val="20"/>
        </w:rPr>
        <w:t xml:space="preserve">Average deposits increased $66.1 million, or 6.6%. The Company experienced growth in average CassPay deposits of $43.4 million, or 18.0%, as compared to the second quarter of 2025.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Accounts and Drafts Payable</w:t>
      </w:r>
      <w:r>
        <w:rPr>
          <w:color w:val="000000"/>
        </w:rPr>
        <w:t xml:space="preserve"> </w:t>
      </w:r>
      <w:r>
        <w:rPr>
          <w:rFonts w:ascii="Times New Roman;serif" w:hAnsi="Times New Roman;serif"/>
          <w:b w:val="false"/>
          <w:color w:val="000000"/>
          <w:sz w:val="20"/>
        </w:rPr>
        <w:t xml:space="preserve">- Average accounts and drafts payable increased $56.0 million, or 5.0%, as compared to the second quarter of 2025. The increase in these balances, which are non-interest bearing, is primarily reflective of the increase in transportation and facility dollar volumes of 7.4% and 2.6%,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Short-term Borrowings</w:t>
      </w:r>
      <w:r>
        <w:rPr>
          <w:color w:val="000000"/>
        </w:rPr>
        <w:t xml:space="preserve"> </w:t>
      </w:r>
      <w:r>
        <w:rPr>
          <w:rFonts w:ascii="Times New Roman;serif" w:hAnsi="Times New Roman;serif"/>
          <w:b w:val="false"/>
          <w:color w:val="000000"/>
          <w:sz w:val="20"/>
        </w:rPr>
        <w:t>- The Company had outstanding borrowings of $80.0 million on its lines of credit at June 30, 2026 to provide funding for higher balances of payments in advance of funding and accounts and drafts receivable from customers at quarter end. Average short-term borrowings during the second quarter of 2026 were $10.0 million.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Shareholders’ Equity</w:t>
      </w:r>
      <w:r>
        <w:rPr>
          <w:color w:val="000000"/>
        </w:rPr>
        <w:t xml:space="preserve"> </w:t>
      </w:r>
      <w:r>
        <w:rPr>
          <w:rFonts w:ascii="Times New Roman;serif" w:hAnsi="Times New Roman;serif"/>
          <w:b w:val="false"/>
          <w:color w:val="000000"/>
          <w:sz w:val="20"/>
        </w:rPr>
        <w:t>- Total shareholders’ equity increased $2.9 million as compared to March 31, 2026 as a result of net income of $10.6 million, partially offset by the repurchase of Company stock of $3.0 million and dividends of $4.1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Dividend</w:t>
      </w:r>
      <w:r>
        <w:rPr>
          <w:color w:val="000000"/>
        </w:rPr>
        <w:t xml:space="preserve"> </w:t>
      </w:r>
      <w:r>
        <w:rPr>
          <w:rFonts w:ascii="Times New Roman;serif" w:hAnsi="Times New Roman;serif"/>
          <w:b w:val="false"/>
          <w:color w:val="000000"/>
          <w:sz w:val="20"/>
        </w:rPr>
        <w:t xml:space="preserve">- On July 21, 2026, the Company’s Board of Directors approved a quarterly dividend of $0.32 per share with the dividend payable on September 14, 2026 to shareholders of record on September 4,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Repurchase of Common Stock - </w:t>
      </w:r>
      <w:r>
        <w:rPr>
          <w:rFonts w:ascii="Times New Roman;serif" w:hAnsi="Times New Roman;serif"/>
          <w:b w:val="false"/>
          <w:color w:val="000000"/>
          <w:sz w:val="20"/>
        </w:rPr>
        <w:t xml:space="preserve">The Company repurchased 65,557 shares of common stock during the current quarter. The Company manages capital with an overall objective of maintaining a leverage ratio of approximately 10.00%. Future levels of repurchases will depend on market conditions, earnings, balance sheet growth and potential acquisition opportunities.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Asset Quality</w:t>
      </w:r>
      <w:r>
        <w:rPr>
          <w:color w:val="000000"/>
        </w:rPr>
        <w:t xml:space="preserve"> </w:t>
      </w:r>
      <w:r>
        <w:rPr>
          <w:rFonts w:ascii="Times New Roman;serif" w:hAnsi="Times New Roman;serif"/>
          <w:b w:val="false"/>
          <w:color w:val="000000"/>
          <w:sz w:val="20"/>
        </w:rPr>
        <w:t xml:space="preserve">- Non-performing loans totaled $1.6 million at June 30, 2026, a decrease of $1.5 million as compared to March 31, 2026. The Company has two non-performing loan relationships remaining at June 30,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Outlook</w:t>
      </w:r>
      <w:r>
        <w:rPr>
          <w:color w:val="000000"/>
        </w:rPr>
        <w:t xml:space="preserve"> </w:t>
      </w:r>
      <w:r>
        <w:rPr>
          <w:rFonts w:ascii="Times New Roman;serif" w:hAnsi="Times New Roman;serif"/>
          <w:b w:val="false"/>
          <w:color w:val="000000"/>
          <w:sz w:val="20"/>
        </w:rPr>
        <w:t xml:space="preserve">- The Company is optimistic regarding its revenue outlook as a result of i) the likelihood of sustained higher interest rates which would be expected to positively impact net interest margin; ii) the impact of higher contract freight rates and fuel surcharges which should lead to higher levels of accounts and drafts payable, net interest income and financial fees; iii) increased sales activity around early payment solutions within Transportation which generates financial fees: iv) organic loan growth opportunities; and v) increased sales activity around non-interest bearing CassPay deposits. In addition, the Company expects to be able to hold quarter over prior year quarter core expense growth to under 2% as a result of the continued focus on AI-enabled systems and other operational efficiency opportunities. While transaction growth in its Transportation and Facility businesses remains a challenge, the Company believes that recent technology investments into AI-enabled systems and a higher level of focus on business development positions the Company for better success in client growth in the mid-term.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Cass Information Systems</w:t>
      </w:r>
    </w:p>
    <w:p>
      <w:pPr>
        <w:pStyle w:val="TextBody"/>
        <w:bidi w:val="0"/>
        <w:spacing w:lineRule="auto" w:line="288" w:before="120" w:after="283"/>
        <w:jc w:val="both"/>
        <w:rPr/>
      </w:pPr>
      <w:r>
        <w:rPr>
          <w:rFonts w:ascii="Times New Roman;serif" w:hAnsi="Times New Roman;serif"/>
          <w:b w:val="false"/>
          <w:color w:val="000000"/>
          <w:sz w:val="20"/>
        </w:rPr>
        <w:t xml:space="preserve">Cass Information Systems, Inc. is a leading provider of integrated information and payment management solutions. Cass enables enterprises to achieve visibility, control and efficiency in their supply chains, communications networks, facilities and other operations. Disbursing over $94 billion annually on behalf of clients, and with total assets of $2.5 billion, Cass is uniquely supported by Cass Commercial Bank. Founded in 1906 and a wholly owned subsidiary, Cass Commercial Bank provides sophisticated financial exchange services to the parent organization and its clients. Cass is part of the </w:t>
      </w:r>
      <w:r>
        <w:rPr>
          <w:rFonts w:ascii="Times New Roman;serif" w:hAnsi="Times New Roman;serif"/>
          <w:b/>
          <w:color w:val="000000"/>
          <w:sz w:val="20"/>
          <w:u w:val="single"/>
        </w:rPr>
        <w:t>Russell 2000</w:t>
      </w:r>
      <w:r>
        <w:rPr>
          <w:rFonts w:ascii="Times New Roman;serif" w:hAnsi="Times New Roman;serif"/>
          <w:b/>
          <w:color w:val="000000"/>
          <w:sz w:val="11"/>
          <w:u w:val="single"/>
        </w:rPr>
        <w:t>®</w:t>
      </w:r>
      <w:r>
        <w:rPr>
          <w:rFonts w:ascii="Times New Roman;serif" w:hAnsi="Times New Roman;serif"/>
          <w:b/>
          <w:color w:val="000000"/>
          <w:sz w:val="20"/>
        </w:rPr>
        <w:t xml:space="preserve">. </w:t>
      </w:r>
      <w:r>
        <w:rPr>
          <w:rFonts w:ascii="Times New Roman;serif" w:hAnsi="Times New Roman;serif"/>
          <w:b w:val="false"/>
          <w:color w:val="000000"/>
          <w:sz w:val="20"/>
        </w:rPr>
        <w:t>More information is available at www.cassinfo.com</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7, 2025, the Company signed an Asset Purchase Agreement providing for the sale of its Telecom Expense Management &amp; Managed Mobility Services (“TEM”) business to Asignet USA Inc. The sale closed on June 30, 2025. The Company has applied discontinued operations accounting in accordance with FASB Accounting Standards Codification (“ASC”), Topic 205-20, “Presentation of Financial Statements – Discontinued Operations,” to the assets and liabilities sold related to the Company's TEM Business Unit as of and for the periods ended June 30, 2026, March 31, 2026, December 31, 2025, September 30, 2025, and June 30, 2025, as applicable. All financial information in this earnings release is reported on a continuing operations basis, unless otherwise noted.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financial measures and ratios the Company presents, including “adjusted net income from continuing operations,” and “adjusted diluted earnings per share from continuing operations,” are supplemental measures that are not required by, or are not presented in accordance with, U.S. generally accepted accounting principles (GAAP). The Company refers to these financial measures and ratios as “non-GAAP financial measures.”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its performance by excluding certain revenue and expense items that the Company believes are not indicative of its primary business operating results or by presenting certain metrics on a fully taxable equivalent basis. The Company believes that management and investors benefit from referring to these non-GAAP financial measures in assessing the Company’s performance and when planning, forecasting, analyzing and comparing past, present and future periods.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should not be considered a substitute for financial information presented in accordance with GAAP and you should not rely on non-GAAP financial measures alone as measures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The non-GAAP financial measures the Company presents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the Company’s performance. A reconciliation of non-GAAP financial measures to the comparable GAAP financial measures is included at the end of the financial statement tables.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 Looking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 included in this release, including without limitation the Company’s future prospects and performance, the business strategy and the plans and objectives of the Company's management for future operations, are forward-looking statements within the meaning of the Private Securities Litigation Reform Act of 1995. When used in this release, words such as “estimate,” “could,” “should,” “would,” “likely,” “may,” “will,” “plan,” “intend,” “believes,” “expects,” “anticipates,” “projected,” and variations of these terms and similar expressions. Although the Company believes that the expectations reflected in the forward-looking statements are reasonable, the Company cannot guarantee future results, levels of activity, performance, or achievements. Actual results or business conditions may differ materially from those projected or suggested in forward-looking statements as a result of various factors including, but not limited to, those described below and in Part I, Item 1A, “Risk Factors” of our most recent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Actual results could differ materially from those contemplated by the forward-looking statements as a result of certain factors, including but not limited to general economic, market or business conditions unrelated to the Company’s operating performance, including inflation, changes in interest rates, changes in energy prices, supply chain disruptions, financial institution disruptions, geopolitical conflicts, public health emergencies and declines in consumer confidence and discretionary spending; the Company’s ability to compete with its competitors and increase market share; the Company’s ability to maintain compliance with rules and regulations applicable to our business operations and industry; increased regulatory examination scrutiny or new regulatory requirements; whether the Company’s customers continue to utilize its payment processing and related services; unfavorable developments concerning customer credit quality; risk associated with lending concentrations including, but not limited to, faith-based ministries and franchise restaurants; liquidity risk; and risks associated with cyber-attacks and data breaches.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Any forward-looking statement made by the Company in this release speaks only as of the date of this release. Unless required by law, the Company does not undertake to release publicly any revisions to these forward-looking statements to reflect future events or circumstances or to reflect the occurrence of unanticipated events. If the Company updates one or more forward-looking statements, no inference should be drawn that the Company will make additional updates with respect to those or other forward-looking statements.</w:t>
      </w:r>
    </w:p>
    <w:p>
      <w:pPr>
        <w:pStyle w:val="TextBody"/>
        <w:bidi w:val="0"/>
        <w:spacing w:before="0" w:after="0"/>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and numbers in thousands, except per share data)</w:t>
      </w:r>
    </w:p>
    <w:tbl>
      <w:tblPr>
        <w:tblW w:w="10205" w:type="dxa"/>
        <w:jc w:val="left"/>
        <w:tblInd w:w="0" w:type="dxa"/>
        <w:tblLayout w:type="fixed"/>
        <w:tblCellMar>
          <w:top w:w="28" w:type="dxa"/>
          <w:left w:w="28" w:type="dxa"/>
          <w:bottom w:w="28" w:type="dxa"/>
          <w:right w:w="28" w:type="dxa"/>
        </w:tblCellMar>
      </w:tblPr>
      <w:tblGrid>
        <w:gridCol w:w="820"/>
        <w:gridCol w:w="519"/>
        <w:gridCol w:w="522"/>
        <w:gridCol w:w="227"/>
        <w:gridCol w:w="338"/>
        <w:gridCol w:w="338"/>
        <w:gridCol w:w="109"/>
        <w:gridCol w:w="109"/>
        <w:gridCol w:w="109"/>
        <w:gridCol w:w="227"/>
        <w:gridCol w:w="338"/>
        <w:gridCol w:w="338"/>
        <w:gridCol w:w="109"/>
        <w:gridCol w:w="109"/>
        <w:gridCol w:w="109"/>
        <w:gridCol w:w="233"/>
        <w:gridCol w:w="338"/>
        <w:gridCol w:w="338"/>
        <w:gridCol w:w="109"/>
        <w:gridCol w:w="109"/>
        <w:gridCol w:w="109"/>
        <w:gridCol w:w="227"/>
        <w:gridCol w:w="338"/>
        <w:gridCol w:w="338"/>
        <w:gridCol w:w="109"/>
        <w:gridCol w:w="109"/>
        <w:gridCol w:w="109"/>
        <w:gridCol w:w="227"/>
        <w:gridCol w:w="338"/>
        <w:gridCol w:w="338"/>
        <w:gridCol w:w="109"/>
        <w:gridCol w:w="109"/>
        <w:gridCol w:w="109"/>
        <w:gridCol w:w="227"/>
        <w:gridCol w:w="338"/>
        <w:gridCol w:w="338"/>
        <w:gridCol w:w="112"/>
        <w:gridCol w:w="112"/>
        <w:gridCol w:w="112"/>
        <w:gridCol w:w="225"/>
        <w:gridCol w:w="298"/>
        <w:gridCol w:w="426"/>
      </w:tblGrid>
      <w:tr>
        <w:trPr/>
        <w:tc>
          <w:tcPr>
            <w:tcW w:w="8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33,169</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 revenue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fees on loans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31,187</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dividends on investment securities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short-term investments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47,028</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release of credit losses</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90,804</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profit sharing</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73,649</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 expense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3,445</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13,710</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from discontinued operations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from discontinued operations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1167"/>
        <w:gridCol w:w="865"/>
        <w:gridCol w:w="831"/>
        <w:gridCol w:w="260"/>
        <w:gridCol w:w="464"/>
        <w:gridCol w:w="467"/>
        <w:gridCol w:w="109"/>
        <w:gridCol w:w="109"/>
        <w:gridCol w:w="109"/>
        <w:gridCol w:w="260"/>
        <w:gridCol w:w="464"/>
        <w:gridCol w:w="467"/>
        <w:gridCol w:w="109"/>
        <w:gridCol w:w="109"/>
        <w:gridCol w:w="109"/>
        <w:gridCol w:w="281"/>
        <w:gridCol w:w="464"/>
        <w:gridCol w:w="467"/>
        <w:gridCol w:w="109"/>
        <w:gridCol w:w="109"/>
        <w:gridCol w:w="109"/>
        <w:gridCol w:w="260"/>
        <w:gridCol w:w="464"/>
        <w:gridCol w:w="467"/>
        <w:gridCol w:w="109"/>
        <w:gridCol w:w="109"/>
        <w:gridCol w:w="109"/>
        <w:gridCol w:w="271"/>
        <w:gridCol w:w="404"/>
        <w:gridCol w:w="574"/>
      </w:tblGrid>
      <w:tr>
        <w:trPr/>
        <w:tc>
          <w:tcPr>
            <w:tcW w:w="116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218,165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599,541</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1,117,004</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1,102,708</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 advance of funding</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177,601</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30,700</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bank-owned life insurance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51,224</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20,493</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60,276</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55,310</w:t>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2,316,018</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370,606</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633,189</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1,003,795</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payable</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1,036,795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34,606</w:t>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2,075,196</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204,842</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in treasury, at cost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240,822</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2,316,018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Summary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2197" w:type="dxa"/>
        <w:jc w:val="left"/>
        <w:tblInd w:w="0" w:type="dxa"/>
        <w:tblLayout w:type="fixed"/>
        <w:tblCellMar>
          <w:top w:w="28" w:type="dxa"/>
          <w:left w:w="28" w:type="dxa"/>
          <w:bottom w:w="28" w:type="dxa"/>
          <w:right w:w="28" w:type="dxa"/>
        </w:tblCellMar>
      </w:tblPr>
      <w:tblGrid>
        <w:gridCol w:w="603"/>
        <w:gridCol w:w="411"/>
        <w:gridCol w:w="41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464"/>
        <w:gridCol w:w="467"/>
        <w:gridCol w:w="109"/>
        <w:gridCol w:w="109"/>
        <w:gridCol w:w="109"/>
        <w:gridCol w:w="211"/>
        <w:gridCol w:w="404"/>
        <w:gridCol w:w="572"/>
      </w:tblGrid>
      <w:tr>
        <w:trPr/>
        <w:tc>
          <w:tcPr>
            <w:tcW w:w="6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Six Months Ended</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PORTFOLIO</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260,283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211,629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410,917</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1,117,004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BALANCES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2,097,445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1,117,758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584,506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341,121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 advance of funding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2,405,441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622,034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1,107,031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230,022</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YIELDS (tax equivalent)</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QUALITY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3,380</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r>
      <w:tr>
        <w:trPr/>
        <w:tc>
          <w:tcPr>
            <w:tcW w:w="14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charge-offs to loans</w:t>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Yields are presented on a tax-equivalent basis assuming a tax rate of 21%.</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Summary (unaudited)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 and numbers in thousands, except average full-time equivalent employees) </w:t>
      </w:r>
    </w:p>
    <w:tbl>
      <w:tblPr>
        <w:tblW w:w="12838" w:type="dxa"/>
        <w:jc w:val="center"/>
        <w:tblInd w:w="0" w:type="dxa"/>
        <w:tblLayout w:type="fixed"/>
        <w:tblCellMar>
          <w:top w:w="28" w:type="dxa"/>
          <w:left w:w="28" w:type="dxa"/>
          <w:bottom w:w="28" w:type="dxa"/>
          <w:right w:w="28" w:type="dxa"/>
        </w:tblCellMar>
      </w:tblPr>
      <w:tblGrid>
        <w:gridCol w:w="944"/>
        <w:gridCol w:w="352"/>
        <w:gridCol w:w="250"/>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404"/>
        <w:gridCol w:w="620"/>
        <w:gridCol w:w="416"/>
        <w:gridCol w:w="109"/>
        <w:gridCol w:w="109"/>
        <w:gridCol w:w="109"/>
        <w:gridCol w:w="404"/>
        <w:gridCol w:w="463"/>
        <w:gridCol w:w="438"/>
      </w:tblGrid>
      <w:tr>
        <w:trPr/>
        <w:tc>
          <w:tcPr>
            <w:tcW w:w="9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Six Months Ended</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DATA</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13,339</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assuming dilution</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13,620</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 end common shares outstanding</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ratio</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14.82%</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risk-based capital ratio</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invoice volume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17,192</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dollar volume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19,094,872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18,013,673</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invoice volume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8,366</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dollar volume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11,336,078</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full-time equivalent employees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Income from Discontinued Operations (unaudited)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1210"/>
        <w:gridCol w:w="941"/>
        <w:gridCol w:w="947"/>
        <w:gridCol w:w="245"/>
        <w:gridCol w:w="210"/>
        <w:gridCol w:w="211"/>
        <w:gridCol w:w="109"/>
        <w:gridCol w:w="109"/>
        <w:gridCol w:w="109"/>
        <w:gridCol w:w="245"/>
        <w:gridCol w:w="210"/>
        <w:gridCol w:w="211"/>
        <w:gridCol w:w="109"/>
        <w:gridCol w:w="109"/>
        <w:gridCol w:w="109"/>
        <w:gridCol w:w="260"/>
        <w:gridCol w:w="227"/>
        <w:gridCol w:w="194"/>
        <w:gridCol w:w="109"/>
        <w:gridCol w:w="109"/>
        <w:gridCol w:w="109"/>
        <w:gridCol w:w="245"/>
        <w:gridCol w:w="248"/>
        <w:gridCol w:w="251"/>
        <w:gridCol w:w="109"/>
        <w:gridCol w:w="109"/>
        <w:gridCol w:w="109"/>
        <w:gridCol w:w="245"/>
        <w:gridCol w:w="285"/>
        <w:gridCol w:w="286"/>
        <w:gridCol w:w="109"/>
        <w:gridCol w:w="109"/>
        <w:gridCol w:w="109"/>
        <w:gridCol w:w="255"/>
        <w:gridCol w:w="210"/>
        <w:gridCol w:w="211"/>
        <w:gridCol w:w="119"/>
        <w:gridCol w:w="119"/>
        <w:gridCol w:w="119"/>
        <w:gridCol w:w="242"/>
        <w:gridCol w:w="255"/>
        <w:gridCol w:w="369"/>
      </w:tblGrid>
      <w:tr>
        <w:trPr/>
        <w:tc>
          <w:tcPr>
            <w:tcW w:w="121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6/30/26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6/30/25</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Processing fees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Financial fees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fees</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TEM business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Salaries and commissions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Share-based compensation</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benefits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Occupancy</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Equipment</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8,448</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 expense (benefit)</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w:t>
            </w:r>
          </w:p>
        </w:tc>
      </w:tr>
      <w:tr>
        <w:trPr/>
        <w:tc>
          <w:tcPr>
            <w:tcW w:w="3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1,345</w:t>
            </w:r>
          </w:p>
        </w:tc>
      </w:tr>
      <w:tr>
        <w:trPr/>
        <w:tc>
          <w:tcPr>
            <w:tcW w:w="3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from discontinued operations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Information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 except per share data)</w:t>
      </w:r>
    </w:p>
    <w:tbl>
      <w:tblPr>
        <w:tblW w:w="10205" w:type="dxa"/>
        <w:jc w:val="center"/>
        <w:tblInd w:w="0" w:type="dxa"/>
        <w:tblLayout w:type="fixed"/>
        <w:tblCellMar>
          <w:top w:w="28" w:type="dxa"/>
          <w:left w:w="28" w:type="dxa"/>
          <w:bottom w:w="28" w:type="dxa"/>
          <w:right w:w="28" w:type="dxa"/>
        </w:tblCellMar>
      </w:tblPr>
      <w:tblGrid>
        <w:gridCol w:w="591"/>
        <w:gridCol w:w="336"/>
        <w:gridCol w:w="33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338"/>
        <w:gridCol w:w="338"/>
        <w:gridCol w:w="109"/>
        <w:gridCol w:w="109"/>
        <w:gridCol w:w="109"/>
        <w:gridCol w:w="211"/>
        <w:gridCol w:w="721"/>
        <w:gridCol w:w="109"/>
        <w:gridCol w:w="109"/>
        <w:gridCol w:w="157"/>
      </w:tblGrid>
      <w:tr>
        <w:trPr/>
        <w:tc>
          <w:tcPr>
            <w:tcW w:w="5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9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w:t>
            </w:r>
            <w:r>
              <w:rPr>
                <w:rFonts w:ascii="Times New Roman;serif" w:hAnsi="Times New Roman;serif"/>
                <w:b/>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from continuing operations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 (GAAP)</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from continuing operations (Non-GAAP)</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The tax effect is calculated using the Company’s effective statutory rate of 21% plus the state tax effect.</w:t>
      </w:r>
    </w:p>
    <w:p>
      <w:pPr>
        <w:pStyle w:val="TextBody"/>
        <w:bidi w:val="0"/>
        <w:jc w:val="center"/>
        <w:rPr/>
      </w:pPr>
      <w:r>
        <w:rPr/>
      </w:r>
    </w:p>
    <w:p>
      <w:pPr>
        <w:pStyle w:val="TextBody"/>
        <w:bidi w:val="0"/>
        <w:spacing w:before="0" w:after="0"/>
        <w:jc w:val="center"/>
        <w:rPr/>
      </w:pPr>
      <w:bookmarkStart w:id="0" w:name="q226supplementalppt.htm"/>
      <w:bookmarkStart w:id="1" w:name="ksq226supplementalppt"/>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www.cassinfo.com | ©2026 Cass Information Systems | Earnings Supplement Second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Forward-Looking Information All statements other than statements of historical fact included in this presentation, including without limitation the Company’s future prospects and performance, the business strategy and the plans and objectives of the Company's management for future operations, are forward-looking statements within the meaning of the Private Securities Litigation Reform Act of 1995. When used in this release, words such as “estimate,” “could,” “should,” “would,” “likely,” “may,” “will,” “plan,” “intend,” “believes,” “expects,” “anticipates,” “projected,” and variations of these terms and similar expressions. Although the Company believes that the expectations reflected in the forward-looking statements are reasonable, the Company cannot guarantee future results, levels of activity, performance, or achievements. Actual results or business conditions may differ materially from those projected or suggested in forward-looking statements as a result of various factors including, but not limited to, those described below and in Part I, Item 1A, “Risk Factors” of our most recent Annual Report. Actual results could differ materially from those contemplated by the forward-looking statements as a result of certain factors, including but not limited to general economic, market or business conditions unrelated to the Company’s operating performance, including inflation, changes in interest rates, changes in energy prices, supply chain disruptions, financial institution disruptions, geopolitical conflicts, public health emergencies and declines in consumer confidence and discretionary spending; the Company’s ability to compete with its competitors and increase market share; the Company’s ability to maintain compliance with rules and regulations applicable to our business operations and industry; increased regulatory examination scrutiny or new regulatory requirements; whether the Company’s customers continue to utilize its payment processing and related services; unfavorable developments concerning customer credit quality; risk associated with lending concentrations including, but not limited to, faith- based ministries and franchise restaurants; liquidity risk; and risks associated with cyber-attacks and data breaches. Readers are cautioned not to place undue reliance on these forward-looking statements. Any forward-looking statement made by the Company in this release speaks only as of the date of this release. Unless required by law, the Company does not undertake to release publicly any revisions to these forward-looking statements to reflect future events or circumstances or to reflect the occurrence of unanticipated events. If the Company updates one or more forward-looking statements, no inference should be drawn that the Company will make additional updates with respect to those or other forward-looking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 Record net income and diluted earnings per share of $10.6 million and $0.81, respectively. • Adjusted net income and adjusted diluted earnings per share from continuing operations of $9.2 million and $0.71, increases of 18.1% and 22.4% compared to 2Q2025. • Increase in net interest margin to 4.00%, compared to 3.78% in 2Q2025 • Increase in transportation dollar volumes of 7.4%, compared to 2Q2025. • Decrease in personnel expense of 2.4%, compared to 2Q2025. • Continued strong asset quality with no loan charge-offs and an allowance for credit losses to loans ratio of 1.30%. In addition, reduced nonperforming loans by $5.3 million, or 76.4%, compared to December 31, 2025. • Received a bad debt recovery of $1.8 million. • Repurchased 65,557 shares of Company stock at a weighted average price of $46.23. Q2 2026 Financial Highlights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Core Earnings Metrics $7.8M $9.2M Q2'25 Q2'26 $0.58 $0.71 Q2'25 Q2'26 ADJUSTED NET INCOME FROM CONTINUING OPERATIONS (1) ADJUSTED DILUTED EPS FROM CONTINUING OPERATIONS (1) (1) Refer to explanation of use of non-GAAP financial measures and reconciliation of adjusted net income from continuing operations and adjusted diluted earnings per share from continuing operations as presented later in this presentation. $5.2M $10.6M Q2'25 Q2'26 NET INCOME FROM CONTINUING OPERATIONS $0.38 $0.81 Q2'25 Q2'26 DILUTED EPS FROM CONTINUING OPERATIONS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The change in processing fees quarter to quarter is generally correlated to transportation and facility invoice volumes. Processing fees declined 3.7% as compared to 2Q2025 due to lower transportation and facility transaction volumes. Transportation invoice volumes of 8.7 million decreased 1.9% as compared to 2Q2025. Facility expense invoice volumes of 4.0 million decreased 3.0% as compared to 2Q2025. The Company expects Facility expense invoice volumes to increase on a quarter over prior year quarter basis beginning in 4Q2026 as new clients are onboarded. 8.84M 8.67M Q2'25 Q2'26 4.14M 4.02M Q2'25 Q2'26 $16.7M $16.1M Q2'25 Q2'26 Processing Fees and Transaction Volumes TRANSPORTATION INVOICE VOLUMES FACILITY INVOICE VOLUMES PROCESSING FEES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$5.51B $5.66B $1,331 $1,408 900 1100 1300 1500 1700 1900 Q2'25 Q2'26 $9.37B $10.06B $1,060 $1,161 900 1000 1100 1200 1300 1400 1500 6.7E+09 7.2E+09 7.7E+09 8.2E+09 8.7E+09 9.2E+09 9.7E+09 1.02E+10 Q2'25 Q2'26 $1.12B $1.18B Q2'25 Q2'26 Transportation dollar volumes of $10.1 billion increased 7.4% as compared to 2Q2025. Dollars per invoice increased as compared to 2Q205 due to an increase in overall freight rates, as well as the impact of fuel surcharges. Facility expense dollar volumes totaled $5.7 billion, an increase of 2.6% as compared to 2Q2025. The increase in facility dollar volumes was primarily driven by rising electricity and gas prices. As a result of the increase in dollar volumes, average accounts and drafts payable increased $56.0 million, or 5.0%, as compared to 2Q2025, which positively impacts interest income as these funds are invested in cash and investment securities. Dollar Volumes and Accounts and Drafts Payable TRANSPORTATION DOLLAR VOLUMES &amp; $/INVOICE FACILITY DOLLAR VOLUMES &amp; $/INVOICE 6 AVERAGE ACCOUNTS &amp; DRAFTS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Financial Fees and Payments in Advance of Funding Financial fees increased $790,000, or 7.8%, from 2Q2025. The increase was due to an increase in average payments in advance of funding of 19.4%. Rising freight rates, combined with higher demand for the Company’s early payment and other financial solutions, are expected to continue to drive an increase in payments in advance of funding and resulting financial fees in future quarters. The percentage of transportation paid dollars advanced to freight carriers increased 138 basis points from 2Q2025. The increase was driven by a recent higher level of demand for the Company’s early payment solutions due to adoption strategies and market conditions. $176.2M $210.4M Q2'25 Q2'26 $10.2M $11.0M Q2'25 Q2'26 AVERAGE PAYMENTS IN ADVANCE OF FUNDINGFINANCIAL FEES 7 6.13% 7.51% Q2'25 Q2'26 PERCENTAGE OF TRANSPORTATION PAID DOLLARS ADVANCED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Net interest income increased $2.1 million, or 10.6%, from 2Q2025 driven by a higher net interest margin (NIM) and an increase in average interest-earning assets of $108.7 million, or 5.2%. The NIM improved 22 basis points from 2Q2025 to 4.00% largely driven by increases in the average yield on loans and investment securities of 23 and 70 basis points, respectively, combined with a decline in the average cost of total deposits of 20 basis points. The Company generally benefits from a higher interest rate environment due to a large percentage of its funding sources being non-interest bearing. Net Interest Income / Margin NET INTEREST INCOME AVERAGE INTEREST-EARNING ASSETS NET INTEREST MARGIN $19.5M $21.5M Q2'25 Q2'26 $2.09B $2.20B Q2'25 Q2'26 3.78% 4.00% Q2'25 Q2'26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Loans increased $41.8 million, or 3.9%, as compared to December 31, 2025, driven by an increase in other C&amp;I. The Company expects to achieve overall loan growth of 6-8% during full year 2026. The Company’s loan yield improved to 5.87% during 2Q2026 as compared to 5.64% during 2Q2025. The loan yield for 2Q2026 reflects continued maturity and subsequent re-pricing of fixed rate loans originated in 2021 and 2022 to current market rates. Loans and Loan Yield 9 Portfolio Composition 6/30/25 9/30/25 12/31/25 3/31/26 6/30/26 Franchise $260.3 $249.9 $235.7 $233.1 $231.5 Faith-Based 410.9 407.1 397.6 396.8 395.5 Leases 111.7 123.6 119.2 123.9 128.5 Other C&amp;I 211.6 196.3 198.2 220.9 235.0 Other CRE 122.5 111.5 110.5 114.1 112.4 Ending Loans $1,117.0 $1,088.3 $1,061.2 $1,088.7 $1,103.0 Loan Yield 5.64% 5.66% 5.69% 5.81% 5.87% ACL/Loans 1.28% 1.29% 1.28% 1.27% 1.30% Net Charge-Offs - - - - - Non-Performing Loans/Loans 0.30% 0.65% 0.66% 0.29% 0.15% Franchise 21% Faith-Based 36% Leases 12% Other C&amp;I 21% Other CRE 10% PORTFOLIO COMPOSITION (6/30/26)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Average deposits increased $66.1 million, or 6.6% as compared to 2Q2025. The Company experienced growth in average CassPay deposits of $43.4 million, or 18.0%, as compared to 2Q2025. The Company expects average CassPay deposits to increase in coming quarters due to growth within the current client base as well as onboarding of new clients from better sales activity. Deposits and Deposit Cost 10 AVERAGE DEPOSITS AVERAGE TOTAL DEPOSIT COST $1.01B $1.08B Q2'25 Q2'26 1.66% 1.46% Q2'25 Q2'26 AVERAGE DEPOSITS (6/30/26) Faith-Based 30% CassPay 26% Other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Loans &amp; Securities (book value) Repricing or Maturity 11 1 Year &gt; 1 to 3 &gt;3 to 5 &gt; 5 Floating Fixed or Less Years Years Years Total Rate Rate Commercial and Industrial: Franchise 39,013 11,092 12,050 169,365 231,520 21,987 209,533 Leases 5,714 44,958 51,473 26,386 128,531 - 128,531 Other 114,143 40,135 63,498 17,255 235,031 92,230 142,801 Total C&amp;I 158,870 96,185 127,021 213,006 595,082 114,217 480,865 Real Estate: Faith-based CRE 90,046 90,523 141,047 73,905 395,521 25,754 369,767 Commercial 51,319 38,945 18,284 1,906 110,454 31,313 79,141 Other 1,983 - - - 1,983 - 1,983 Total real estate 143,348 129,468 159,331 75,811 507,958 57,067 450,891 Total loans 302,218 225,653 286,352 288,817 1,103,040 171,284 931,756 % of total 27% 20% 26% 26% 100% 16% 84% Weighted-average coupon rate 5.66% 5.20% 5.79% 5.75% 1 Year &gt; 1 to 3 &gt;3 to 5 &gt; 5 Floating Fixed or Less Years Years Years Total Rate Rate Mortgage-backed 65,056 123,841 120,377 195,066 504,340 - 504,340 State and political 31,557 10,276 74,269 105,078 221,180 - 221,180 Corporate 3,000 6,215 21,552 - 30,767 5,952 24,815 Asset-backed 3,623 5,485 4,340 8,030 21,478 21,478 - Total investment securities 103,236 145,817 220,538 308,174 777,765 27,430 750,335 % of total 13% 19% 28% 40% 100% 4% 96% Total Loans at June 30, 2026 Repricing or Maturity Term Rate Structure Total Investment Securities (Book Value) at June 30, 2026 Maturity and Projected Principal Cash Flow Rate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$27.8M $27.6M $27.4M $27.3M $27.1M Q2'25 Q3'25 Q4'25 Q1'26 Q2'26 $38.1M $36.8M Q2'25 Q2'26 $38.1M $38.5M Q2'25 Q2'26 Total operating expenses were $36.8 million as compared to $38.1 million in 2Q2025. Operating expense for 2Q2026 includes a $1.8 million recovery of bad debt. Excluding the impact of this item, adjusted total operating expense was up 1.1% compared to 2Q2025. Personnel expenses were down 2.4% as compared to 2Q2025. The Company’s consolidation within its Facilities division and continued expanded utilization of AI-enabled systems resulted in a 9.0% decline in average FTEs from 2Q2025 to 2Q2026. The Company expects to be able to hold quarter over prior year quarter core expense growth to under 2% as a result of the continued focus on AI-enabled systems and other operational efficiency opportunities. Expenses PERSONNEL EXPENSES 12 ADJUSTED OPERATING EXPENSES(1)TOTAL OPERATING EXPENSES (1) Refer to explanation of use of non-GAAP financial measures and reconciliation of adjusted net income from continuing operations and adjusted diluted earnings per share from continuing operations as presented later in this presentation. AVERAGE FTEs 985 958 939 923 896 Q2'25 Q3'25 Q4'25 Q1'26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The company remains a consistent dividend payer and grower, paying regularly scheduled cash dividends since 1934. In addition, the Company repurchased 65,557 shares of common stock during the current quarter, resulting in a total cash return to shareholders of $7.1 million. The Company manages capital with an overall objective of maintaining a leverage ratio of approximately 10.00%. Future levels of repurchases will depend on market conditions, earnings, balance sheet growth and potential acquisition opportunities. Prudent Stewards of Capital SHAREHOLDER RETURNS 13 $4.1M $4.1M $4.1M $4.1M $4.1M $5.9M $6.7M $8.3M $2.9M $3.0M Q2 '25 Q3 '25 Q4 '25 Q1'26 Q2'26 Dividends Share Buybacks Tier 1 leverage ratio at 6/30/26 10.13% Common equity tier 1 risk-based ratio at 6/30/26 14.68% Tier 1 risk-based ratio at 6/30/26 14.68% Total risk-based ratio at 6/30/26 15.52% $12.4M $10.8M$10.0M $7.1M$7.0M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Compelling Opportunities for Future Earnings Growth and Value Creation Driving efficiency and improved results in data ingestion and client relations functions through AI. Net interest income and margin growth as fixed rate interest-earning assets reprice in higher interest rate environment. Net interest income growth as a result of the impact of higher contract freight rates and fuel surcharges in Transportation and higher overall energy prices in Facilities. Non-interest bearing deposit and related net interest income growth as a result of recent sales activity and growth within CassPay client base. Development of full product suite in Transportation with respect to freight audit and payment and supply chain finance provides a competitive advantage. Highly efficient Bank with growth opportunities in all niche business lines Strong capital levels support growth initiatives and/or return to shareholders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Appendix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Use of Non-GAAP Financial Measures Certain of the financial measures and ratios the Company presents, including “adjusted net income from continuing operations,” and “adjusted diluted earnings per share from continuing operations,” are supplemental measures that are not required by, or are not presented in accordance with, U.S. generally accepted accounting principles (GAAP). The Company refers to these financial measures and ratios as “non-GAAP financial measures.”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its performance by excluding certain revenue and expense items that the Company believes are not indicative of its primary business operating results or by presenting certain metrics on a fully taxable equivalent basis. The Company believes that management and investors benefit from referring to these non-GAAP financial measures in assessing the Company’s performance and when planning, forecasting, analyzing and comparing past, present and future periods. These non-GAAP financial measures should not be considered a substitute for financial information presented in accordance with GAAP and you should not rely on non-GAAP financial measures alone as measures of the Company’s performance. The non-GAAP financial measures the Company presents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the Company’s performance. A reconciliation of non-GAAP financial measures to the comparable GAAP financial measures is included at the end of the financial statement tables.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Reconciliation of GAAP to Non-GAAP Financial Information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7742</Words>
  <Characters>43399</Characters>
  <CharactersWithSpaces>49869</CharactersWithSpaces>
  <Paragraphs>1658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q226supplementalppt</dc:title>
</cp:coreProperties>
</file>